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19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октября 2022г.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71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>жилому дому, расположенному на земельном участке с кадастровым номером 46:11:060603:139</w:t>
      </w:r>
      <w:r>
        <w:rPr>
          <w:rFonts w:ascii="Times New Roman" w:hAnsi="Times New Roman"/>
          <w:sz w:val="28"/>
          <w:szCs w:val="28"/>
        </w:rPr>
        <w:t>, следующий адрес: 3055</w:t>
      </w:r>
      <w:r w:rsidR="002F029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2F0297">
        <w:rPr>
          <w:rFonts w:ascii="Times New Roman" w:hAnsi="Times New Roman"/>
          <w:sz w:val="28"/>
          <w:szCs w:val="28"/>
        </w:rPr>
        <w:t>Каменево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2F0297">
        <w:rPr>
          <w:rFonts w:ascii="Times New Roman" w:hAnsi="Times New Roman"/>
          <w:sz w:val="28"/>
          <w:szCs w:val="28"/>
        </w:rPr>
        <w:t>дом 80А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4</cp:revision>
  <cp:lastPrinted>2022-10-19T10:00:00Z</cp:lastPrinted>
  <dcterms:created xsi:type="dcterms:W3CDTF">2022-09-29T07:13:00Z</dcterms:created>
  <dcterms:modified xsi:type="dcterms:W3CDTF">2022-10-19T10:00:00Z</dcterms:modified>
</cp:coreProperties>
</file>